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wordWrap w:val="0"/>
        <w:spacing w:line="500" w:lineRule="exact"/>
        <w:ind w:right="64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tbl>
      <w:tblPr>
        <w:tblStyle w:val="9"/>
        <w:tblpPr w:leftFromText="180" w:rightFromText="180" w:vertAnchor="text" w:horzAnchor="page" w:tblpX="1275" w:tblpY="112"/>
        <w:tblOverlap w:val="never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49"/>
        <w:gridCol w:w="880"/>
        <w:gridCol w:w="1502"/>
        <w:gridCol w:w="1589"/>
        <w:gridCol w:w="791"/>
        <w:gridCol w:w="11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福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建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省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公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路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学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 xml:space="preserve">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福建省交通工程造价协会：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（若都不是，此栏目可不填）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9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报名参加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工程结算争议处理-以建工司法解释为视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建设工程签证、索赔争议处理 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□建设工程结算争议处理经典案例分析培训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名： 福建省交通工程造价协会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OWM5Mzc3M2M0MmRjNzY0NmM0ZTk3YzQ1YWYwNjAifQ=="/>
  </w:docVars>
  <w:rsids>
    <w:rsidRoot w:val="00000000"/>
    <w:rsid w:val="03B10EED"/>
    <w:rsid w:val="0451447E"/>
    <w:rsid w:val="05FB5BB3"/>
    <w:rsid w:val="09F935EE"/>
    <w:rsid w:val="0A184800"/>
    <w:rsid w:val="0AC91212"/>
    <w:rsid w:val="0D441024"/>
    <w:rsid w:val="0DBA4CDC"/>
    <w:rsid w:val="0DC91529"/>
    <w:rsid w:val="0EFE5203"/>
    <w:rsid w:val="0FD03043"/>
    <w:rsid w:val="104B091B"/>
    <w:rsid w:val="13D33102"/>
    <w:rsid w:val="15BF393E"/>
    <w:rsid w:val="16C67BC3"/>
    <w:rsid w:val="183103F7"/>
    <w:rsid w:val="1888270D"/>
    <w:rsid w:val="18AB39C5"/>
    <w:rsid w:val="19257F5C"/>
    <w:rsid w:val="19632832"/>
    <w:rsid w:val="1A4D6459"/>
    <w:rsid w:val="1CB25FAA"/>
    <w:rsid w:val="1CDE389D"/>
    <w:rsid w:val="1D7B207F"/>
    <w:rsid w:val="1E171E3D"/>
    <w:rsid w:val="1E262080"/>
    <w:rsid w:val="1E2F7187"/>
    <w:rsid w:val="1EF34658"/>
    <w:rsid w:val="1F7725A2"/>
    <w:rsid w:val="1FE02E2E"/>
    <w:rsid w:val="20012DA5"/>
    <w:rsid w:val="206C6470"/>
    <w:rsid w:val="207B03F0"/>
    <w:rsid w:val="21311468"/>
    <w:rsid w:val="225E44DE"/>
    <w:rsid w:val="2415322B"/>
    <w:rsid w:val="24961D0D"/>
    <w:rsid w:val="256A71DC"/>
    <w:rsid w:val="25DC5E46"/>
    <w:rsid w:val="27EB411E"/>
    <w:rsid w:val="280B47C0"/>
    <w:rsid w:val="290342EC"/>
    <w:rsid w:val="2D960FD0"/>
    <w:rsid w:val="2DB57A43"/>
    <w:rsid w:val="2E312AA7"/>
    <w:rsid w:val="37DE3C9F"/>
    <w:rsid w:val="38602906"/>
    <w:rsid w:val="38CA4224"/>
    <w:rsid w:val="3982065B"/>
    <w:rsid w:val="3A2D05C6"/>
    <w:rsid w:val="3A43203A"/>
    <w:rsid w:val="3AD924FC"/>
    <w:rsid w:val="3AE570F3"/>
    <w:rsid w:val="3B710987"/>
    <w:rsid w:val="3B7F30A4"/>
    <w:rsid w:val="3C9506A5"/>
    <w:rsid w:val="41032081"/>
    <w:rsid w:val="41BE41FA"/>
    <w:rsid w:val="422229DB"/>
    <w:rsid w:val="42240501"/>
    <w:rsid w:val="423050F8"/>
    <w:rsid w:val="43F22966"/>
    <w:rsid w:val="45EE1552"/>
    <w:rsid w:val="47E524E0"/>
    <w:rsid w:val="48AA4DCA"/>
    <w:rsid w:val="48B9571B"/>
    <w:rsid w:val="4A534079"/>
    <w:rsid w:val="4ACE54AE"/>
    <w:rsid w:val="4B2B6B1A"/>
    <w:rsid w:val="4C3504DC"/>
    <w:rsid w:val="4DFA2A5E"/>
    <w:rsid w:val="4E546612"/>
    <w:rsid w:val="4ECF7A46"/>
    <w:rsid w:val="4F7B372A"/>
    <w:rsid w:val="5B3552A0"/>
    <w:rsid w:val="5BD26DC8"/>
    <w:rsid w:val="5E897C12"/>
    <w:rsid w:val="5F1A2F60"/>
    <w:rsid w:val="5F3F330E"/>
    <w:rsid w:val="5FB94096"/>
    <w:rsid w:val="60011A2A"/>
    <w:rsid w:val="601259E5"/>
    <w:rsid w:val="60DC5F4D"/>
    <w:rsid w:val="630737FB"/>
    <w:rsid w:val="633D721D"/>
    <w:rsid w:val="634B4B7D"/>
    <w:rsid w:val="64264E79"/>
    <w:rsid w:val="64FE478A"/>
    <w:rsid w:val="658200A4"/>
    <w:rsid w:val="687234C5"/>
    <w:rsid w:val="689E42BA"/>
    <w:rsid w:val="6AC87D14"/>
    <w:rsid w:val="6C6E0447"/>
    <w:rsid w:val="6C731AE5"/>
    <w:rsid w:val="6E7D7067"/>
    <w:rsid w:val="6F63397E"/>
    <w:rsid w:val="6FB6638D"/>
    <w:rsid w:val="70814BED"/>
    <w:rsid w:val="725B146D"/>
    <w:rsid w:val="725E4ABA"/>
    <w:rsid w:val="72F83160"/>
    <w:rsid w:val="753F6E24"/>
    <w:rsid w:val="75C630A2"/>
    <w:rsid w:val="769E5DCD"/>
    <w:rsid w:val="76B4739E"/>
    <w:rsid w:val="76DE455C"/>
    <w:rsid w:val="7726029C"/>
    <w:rsid w:val="77B77146"/>
    <w:rsid w:val="78232A2D"/>
    <w:rsid w:val="788314A6"/>
    <w:rsid w:val="78C733B9"/>
    <w:rsid w:val="7AEA338E"/>
    <w:rsid w:val="7BCD518A"/>
    <w:rsid w:val="7BD37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4"/>
    <w:basedOn w:val="1"/>
    <w:next w:val="1"/>
    <w:unhideWhenUsed/>
    <w:qFormat/>
    <w:uiPriority w:val="39"/>
    <w:pPr>
      <w:ind w:firstLine="64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_Style 1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3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2701</Words>
  <Characters>2932</Characters>
  <Lines>0</Lines>
  <Paragraphs>0</Paragraphs>
  <TotalTime>0</TotalTime>
  <ScaleCrop>false</ScaleCrop>
  <LinksUpToDate>false</LinksUpToDate>
  <CharactersWithSpaces>3144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2019-03-01T10:47:00Z</dcterms:created>
  <dc:creator>蔡艳平</dc:creator>
  <cp:lastModifiedBy>福建省交通工程造价协会</cp:lastModifiedBy>
  <cp:lastPrinted>2022-09-20T09:58:00Z</cp:lastPrinted>
  <dcterms:modified xsi:type="dcterms:W3CDTF">2022-09-23T09:22:50Z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C0C31EE4350740BF89FF425ED3BE7EE8</vt:lpwstr>
  </property>
</Properties>
</file>